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1D5F02" w14:textId="77777777" w:rsidR="00F42C12" w:rsidRPr="00F42C12" w:rsidRDefault="00F42C12" w:rsidP="00F42C12">
      <w:pPr>
        <w:rPr>
          <w:b/>
          <w:bCs/>
        </w:rPr>
      </w:pPr>
      <w:r w:rsidRPr="00F42C12">
        <w:rPr>
          <w:b/>
          <w:bCs/>
        </w:rPr>
        <w:t>Резюме</w:t>
      </w:r>
    </w:p>
    <w:p w14:paraId="46CB711F" w14:textId="6B68A20B" w:rsidR="00F42C12" w:rsidRDefault="00F42C12" w:rsidP="00F42C12">
      <w:r w:rsidRPr="00F42C12">
        <w:rPr>
          <w:b/>
          <w:bCs/>
        </w:rPr>
        <w:t>Цель</w:t>
      </w:r>
    </w:p>
    <w:p w14:paraId="05BF8FC7" w14:textId="6DD79E5A" w:rsidR="00F42C12" w:rsidRDefault="00F42C12" w:rsidP="00F42C12">
      <w:r>
        <w:t>Определение уровня N концевого фрагмента мозгового натрийуретического пептида (NT-proBNP) в плазме</w:t>
      </w:r>
      <w:r w:rsidRPr="00F42C12">
        <w:t xml:space="preserve"> </w:t>
      </w:r>
      <w:r>
        <w:t>у больных с хронической сердечной недостаточностью (ХСН) и анемией на фоне различных схем терапии</w:t>
      </w:r>
      <w:r w:rsidRPr="00F42C12">
        <w:t xml:space="preserve"> </w:t>
      </w:r>
      <w:r>
        <w:t>с использованием базисных препаратов и препаратов железа.</w:t>
      </w:r>
    </w:p>
    <w:p w14:paraId="20FB6CC8" w14:textId="77777777" w:rsidR="00F42C12" w:rsidRPr="00F42C12" w:rsidRDefault="00F42C12" w:rsidP="00F42C12">
      <w:pPr>
        <w:rPr>
          <w:b/>
          <w:bCs/>
        </w:rPr>
      </w:pPr>
      <w:r w:rsidRPr="00F42C12">
        <w:rPr>
          <w:b/>
          <w:bCs/>
        </w:rPr>
        <w:t>Материал и методы</w:t>
      </w:r>
    </w:p>
    <w:p w14:paraId="2A7304CA" w14:textId="75670BC4" w:rsidR="00D10662" w:rsidRDefault="00F42C12" w:rsidP="00F42C12">
      <w:r>
        <w:t>В открытое, рандомизированное исследование включены 208 больных в возрасте 45–75 лет (средний возраст – 60,6±1,4 с ХСН I–IV функциональных классов (ФК) по классификации NYHA (в среднем ФК составил</w:t>
      </w:r>
      <w:r w:rsidRPr="00F42C12">
        <w:t xml:space="preserve"> </w:t>
      </w:r>
      <w:r>
        <w:t>3±0,85)</w:t>
      </w:r>
      <w:r w:rsidRPr="00F42C12">
        <w:t xml:space="preserve"> </w:t>
      </w:r>
      <w:r>
        <w:t>ишемической этиологии. Среди 174 пациентов мужчин было 78 больных (44,8 %) и 95 женщин (55,2 %).</w:t>
      </w:r>
      <w:r w:rsidRPr="00F42C12">
        <w:t xml:space="preserve"> </w:t>
      </w:r>
      <w:r>
        <w:t>Все больные, в зависимости от проводимой терапии, были разделены на 4 группы: I группа получала терапиютолько базисными препаратами; II группа – терапию базисными препаратами + метоксиполиэтиленгликольэпоэтин бета (МЭБ); III группа (сюда вошли больные с дефицитом железа) – базисные препараты + препаратыжелеза; IV группа – комбинированную терапию, включающую базисные препараты, МЭБ и препараты железа. До и после лечения определяли уровни гемоглобина, железа, ферритина, трансферрина, эритропоэтина,</w:t>
      </w:r>
      <w:r w:rsidRPr="00F42C12">
        <w:t xml:space="preserve"> </w:t>
      </w:r>
      <w:r>
        <w:t>NT-proBNP, показатели систолической и диастолической функций миокарда левого желудочка.</w:t>
      </w:r>
    </w:p>
    <w:p w14:paraId="516DA371" w14:textId="77777777" w:rsidR="00F42C12" w:rsidRPr="00F42C12" w:rsidRDefault="00F42C12" w:rsidP="00F42C12">
      <w:pPr>
        <w:rPr>
          <w:b/>
          <w:bCs/>
        </w:rPr>
      </w:pPr>
      <w:r w:rsidRPr="00F42C12">
        <w:rPr>
          <w:b/>
          <w:bCs/>
        </w:rPr>
        <w:t>Результаты</w:t>
      </w:r>
    </w:p>
    <w:p w14:paraId="7624097A" w14:textId="2E560805" w:rsidR="00F42C12" w:rsidRDefault="00F42C12" w:rsidP="00F42C12">
      <w:r>
        <w:t>Во всех группах у больных с ХСН и анемией диагностировались повышение в плазме крови уровня NT-proBNP.</w:t>
      </w:r>
      <w:r w:rsidRPr="00F42C12">
        <w:t xml:space="preserve"> </w:t>
      </w:r>
      <w:r>
        <w:t>На фоне терапии базисными препаратами уменьшение в плазме крови уровня NT-proBNP было недостоверным. В трех остальных группах с различными комбинациями терапии снижение в плазме крови уровня NT-proBNP оказалось статистически значимым.</w:t>
      </w:r>
    </w:p>
    <w:p w14:paraId="5F8C8EF2" w14:textId="77777777" w:rsidR="00F42C12" w:rsidRPr="00F42C12" w:rsidRDefault="00F42C12" w:rsidP="00F42C12">
      <w:pPr>
        <w:rPr>
          <w:b/>
          <w:bCs/>
        </w:rPr>
      </w:pPr>
      <w:r w:rsidRPr="00F42C12">
        <w:rPr>
          <w:b/>
          <w:bCs/>
        </w:rPr>
        <w:t>Заключение</w:t>
      </w:r>
    </w:p>
    <w:p w14:paraId="2E54BD0C" w14:textId="5177793F" w:rsidR="00F42C12" w:rsidRDefault="00F42C12" w:rsidP="00F42C12">
      <w:r>
        <w:t>Полученные результаты отражают прогностическое значение определения уровня в плазме NT-proBNP для</w:t>
      </w:r>
      <w:r w:rsidRPr="00F42C12">
        <w:t xml:space="preserve"> </w:t>
      </w:r>
      <w:r>
        <w:t>больных с ХСН ишемической природы и анемическим синдромом, для выбора эффективной лечебной тактики и оценки проводимой терапии.</w:t>
      </w:r>
    </w:p>
    <w:p w14:paraId="03E534C1" w14:textId="77777777" w:rsidR="00F42C12" w:rsidRPr="00F42C12" w:rsidRDefault="00F42C12" w:rsidP="00F42C12">
      <w:pPr>
        <w:rPr>
          <w:b/>
          <w:bCs/>
        </w:rPr>
      </w:pPr>
      <w:r w:rsidRPr="00F42C12">
        <w:rPr>
          <w:b/>
          <w:bCs/>
        </w:rPr>
        <w:t>Ключевые слова</w:t>
      </w:r>
    </w:p>
    <w:p w14:paraId="0D3B5365" w14:textId="6F733DB3" w:rsidR="00F42C12" w:rsidRPr="00F42C12" w:rsidRDefault="00F42C12" w:rsidP="00F42C12">
      <w:r>
        <w:t>хроническая сердечная недостаточность, анемия, N-терминальный фрагмент мозгового натрийуретического</w:t>
      </w:r>
      <w:r w:rsidRPr="00F42C12">
        <w:t xml:space="preserve"> </w:t>
      </w:r>
      <w:bookmarkStart w:id="0" w:name="_GoBack"/>
      <w:bookmarkEnd w:id="0"/>
      <w:r>
        <w:t>пептида</w:t>
      </w:r>
    </w:p>
    <w:sectPr w:rsidR="00F42C12" w:rsidRPr="00F42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73F09"/>
    <w:rsid w:val="000854F6"/>
    <w:rsid w:val="000C3570"/>
    <w:rsid w:val="000F466A"/>
    <w:rsid w:val="000F6853"/>
    <w:rsid w:val="00103354"/>
    <w:rsid w:val="00147B4A"/>
    <w:rsid w:val="00195CC8"/>
    <w:rsid w:val="001A2C10"/>
    <w:rsid w:val="001D0E8F"/>
    <w:rsid w:val="001E2645"/>
    <w:rsid w:val="00200DF3"/>
    <w:rsid w:val="002073BF"/>
    <w:rsid w:val="00227EEA"/>
    <w:rsid w:val="002321A4"/>
    <w:rsid w:val="0025199B"/>
    <w:rsid w:val="00257F92"/>
    <w:rsid w:val="002A3358"/>
    <w:rsid w:val="002B6113"/>
    <w:rsid w:val="002D03D4"/>
    <w:rsid w:val="002E514C"/>
    <w:rsid w:val="00381E79"/>
    <w:rsid w:val="003834AD"/>
    <w:rsid w:val="003D4FD1"/>
    <w:rsid w:val="003F074C"/>
    <w:rsid w:val="003F6E9F"/>
    <w:rsid w:val="0041471D"/>
    <w:rsid w:val="00424125"/>
    <w:rsid w:val="004558B7"/>
    <w:rsid w:val="00473A61"/>
    <w:rsid w:val="00477467"/>
    <w:rsid w:val="00496CD3"/>
    <w:rsid w:val="004A076D"/>
    <w:rsid w:val="004A4573"/>
    <w:rsid w:val="004C27B9"/>
    <w:rsid w:val="004C4976"/>
    <w:rsid w:val="004D2937"/>
    <w:rsid w:val="005073CB"/>
    <w:rsid w:val="005120CC"/>
    <w:rsid w:val="00531178"/>
    <w:rsid w:val="005426F4"/>
    <w:rsid w:val="00555142"/>
    <w:rsid w:val="00583D1B"/>
    <w:rsid w:val="00593999"/>
    <w:rsid w:val="005E3963"/>
    <w:rsid w:val="005F0A0A"/>
    <w:rsid w:val="00633694"/>
    <w:rsid w:val="00657D7D"/>
    <w:rsid w:val="00683C4A"/>
    <w:rsid w:val="006A756B"/>
    <w:rsid w:val="006C1BBD"/>
    <w:rsid w:val="006D12DB"/>
    <w:rsid w:val="006D45C4"/>
    <w:rsid w:val="006F5AF8"/>
    <w:rsid w:val="00712EB7"/>
    <w:rsid w:val="007132FF"/>
    <w:rsid w:val="00734EFF"/>
    <w:rsid w:val="00770A33"/>
    <w:rsid w:val="0077630C"/>
    <w:rsid w:val="00785A59"/>
    <w:rsid w:val="00795E32"/>
    <w:rsid w:val="007B2D19"/>
    <w:rsid w:val="007B7C25"/>
    <w:rsid w:val="007D2F51"/>
    <w:rsid w:val="007E5164"/>
    <w:rsid w:val="008173D2"/>
    <w:rsid w:val="00845D24"/>
    <w:rsid w:val="00886ACC"/>
    <w:rsid w:val="00895C46"/>
    <w:rsid w:val="0089639F"/>
    <w:rsid w:val="008C23E5"/>
    <w:rsid w:val="00921232"/>
    <w:rsid w:val="00943ED8"/>
    <w:rsid w:val="0098564E"/>
    <w:rsid w:val="009C234E"/>
    <w:rsid w:val="009C42B0"/>
    <w:rsid w:val="00A375E0"/>
    <w:rsid w:val="00A508BF"/>
    <w:rsid w:val="00A55BBB"/>
    <w:rsid w:val="00A569A0"/>
    <w:rsid w:val="00AA27B4"/>
    <w:rsid w:val="00AD7F3A"/>
    <w:rsid w:val="00AE1722"/>
    <w:rsid w:val="00B13DB7"/>
    <w:rsid w:val="00B17EC5"/>
    <w:rsid w:val="00B2033C"/>
    <w:rsid w:val="00B21882"/>
    <w:rsid w:val="00B64F38"/>
    <w:rsid w:val="00B83398"/>
    <w:rsid w:val="00B85DA5"/>
    <w:rsid w:val="00BA0F10"/>
    <w:rsid w:val="00C050FF"/>
    <w:rsid w:val="00C72A7B"/>
    <w:rsid w:val="00C74EF6"/>
    <w:rsid w:val="00C84A7B"/>
    <w:rsid w:val="00C945A3"/>
    <w:rsid w:val="00C95555"/>
    <w:rsid w:val="00CB5991"/>
    <w:rsid w:val="00CF036B"/>
    <w:rsid w:val="00D10662"/>
    <w:rsid w:val="00D22F46"/>
    <w:rsid w:val="00D453CD"/>
    <w:rsid w:val="00D7750F"/>
    <w:rsid w:val="00D8377F"/>
    <w:rsid w:val="00D8390B"/>
    <w:rsid w:val="00DB70E6"/>
    <w:rsid w:val="00DC7D8A"/>
    <w:rsid w:val="00E41231"/>
    <w:rsid w:val="00E70748"/>
    <w:rsid w:val="00E7451F"/>
    <w:rsid w:val="00E94A56"/>
    <w:rsid w:val="00EA1659"/>
    <w:rsid w:val="00EA3E2F"/>
    <w:rsid w:val="00EC5C7F"/>
    <w:rsid w:val="00EE3C17"/>
    <w:rsid w:val="00F4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B85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2020-04-10T09:54:00Z</dcterms:created>
  <dcterms:modified xsi:type="dcterms:W3CDTF">2020-04-10T09:54:00Z</dcterms:modified>
</cp:coreProperties>
</file>